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eastAsia="Calibri" w:cs="Times New Roman" w:ascii="Times New Roman" w:hAnsi="Times New Roman"/>
          <w:sz w:val="24"/>
          <w:szCs w:val="24"/>
        </w:rPr>
        <w:t xml:space="preserve">№ </w:t>
      </w:r>
      <w:r>
        <w:rPr>
          <w:rFonts w:eastAsia="Calibri" w:cs="Times New Roman" w:ascii="Times New Roman" w:hAnsi="Times New Roman"/>
          <w:sz w:val="24"/>
          <w:szCs w:val="24"/>
        </w:rPr>
        <w:t>7</w:t>
      </w:r>
      <w:r>
        <w:rPr>
          <w:rFonts w:eastAsia="Calibri" w:cs="Times New Roman" w:ascii="Times New Roman" w:hAnsi="Times New Roman"/>
          <w:sz w:val="24"/>
          <w:szCs w:val="24"/>
        </w:rPr>
        <w:t>5 от «</w:t>
      </w:r>
      <w:r>
        <w:rPr>
          <w:rFonts w:eastAsia="Calibri" w:cs="Times New Roman" w:ascii="Times New Roman" w:hAnsi="Times New Roman"/>
          <w:sz w:val="24"/>
          <w:szCs w:val="24"/>
        </w:rPr>
        <w:t>20</w:t>
      </w:r>
      <w:r>
        <w:rPr>
          <w:rFonts w:eastAsia="Calibri" w:cs="Times New Roman" w:ascii="Times New Roman" w:hAnsi="Times New Roman"/>
          <w:sz w:val="24"/>
          <w:szCs w:val="24"/>
        </w:rPr>
        <w:t xml:space="preserve">» </w:t>
      </w:r>
      <w:r>
        <w:rPr>
          <w:rFonts w:eastAsia="Calibri" w:cs="Times New Roman" w:ascii="Times New Roman" w:hAnsi="Times New Roman"/>
          <w:sz w:val="24"/>
          <w:szCs w:val="24"/>
        </w:rPr>
        <w:t>мая</w:t>
      </w:r>
      <w:r>
        <w:rPr>
          <w:rFonts w:eastAsia="Calibri" w:cs="Times New Roman" w:ascii="Times New Roman" w:hAnsi="Times New Roman"/>
          <w:sz w:val="24"/>
          <w:szCs w:val="24"/>
        </w:rPr>
        <w:t xml:space="preserve"> 2026 г.</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ДОКУМЕНТАЦИЯ О ПРОВЕДЕНИИ </w:t>
        <w:br/>
        <w:t>ПРЕДВАРИТЕЛЬНОГО ОТБОРА</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w:t>
      </w:r>
      <w:r>
        <w:rPr>
          <w:rFonts w:eastAsia="Times New Roman" w:cs="Times New Roman" w:ascii="Times New Roman" w:hAnsi="Times New Roman"/>
          <w:b/>
          <w:sz w:val="28"/>
          <w:szCs w:val="28"/>
          <w:lang w:eastAsia="ru-RU"/>
        </w:rPr>
        <w:t>ПО.г.26.</w:t>
      </w:r>
      <w:r>
        <w:rPr>
          <w:rFonts w:eastAsia="Times New Roman" w:cs="Times New Roman" w:ascii="Times New Roman" w:hAnsi="Times New Roman"/>
          <w:b/>
          <w:sz w:val="28"/>
          <w:szCs w:val="28"/>
          <w:lang w:eastAsia="ru-RU"/>
        </w:rPr>
        <w:t>2</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оказанию услуг и (или) выполнению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на ремонт (замену, модернизацию) лифтов.</w:t>
      </w:r>
    </w:p>
    <w:p>
      <w:pPr>
        <w:pStyle w:val="ListParagraph"/>
        <w:spacing w:lineRule="auto" w:line="240" w:before="0" w:after="0"/>
        <w:ind w:left="0"/>
        <w:contextualSpacing/>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 xml:space="preserve">1. Документация  разработана в соответствии с </w:t>
      </w:r>
      <w:r>
        <w:rPr>
          <w:rFonts w:cs="Times New Roman" w:ascii="Times New Roman" w:hAnsi="Times New Roman"/>
          <w:i/>
          <w:color w:themeColor="text1" w:val="000000"/>
          <w:sz w:val="28"/>
          <w:szCs w:val="28"/>
        </w:rPr>
        <w:t xml:space="preserve">Положением о </w:t>
      </w:r>
      <w:r>
        <w:rPr>
          <w:rFonts w:cs="Times New Roman" w:ascii="Times New Roman" w:hAnsi="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ListParagraph"/>
        <w:numPr>
          <w:ilvl w:val="0"/>
          <w:numId w:val="11"/>
        </w:numPr>
        <w:tabs>
          <w:tab w:val="clear" w:pos="708"/>
          <w:tab w:val="left" w:pos="284" w:leader="none"/>
        </w:tabs>
        <w:spacing w:lineRule="auto" w:line="240" w:before="0" w:after="0"/>
        <w:ind w:hanging="0" w:left="0"/>
        <w:contextualSpacing/>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sz w:val="28"/>
          <w:szCs w:val="28"/>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ПО.г.26.</w:t>
      </w:r>
      <w:r>
        <w:rPr>
          <w:rFonts w:ascii="Times New Roman" w:hAnsi="Times New Roman"/>
          <w:b/>
          <w:bCs/>
          <w:sz w:val="28"/>
          <w:szCs w:val="28"/>
        </w:rPr>
        <w:t>2</w:t>
      </w:r>
    </w:p>
    <w:p>
      <w:pPr>
        <w:pStyle w:val="Normal"/>
        <w:tabs>
          <w:tab w:val="clear" w:pos="708"/>
          <w:tab w:val="left" w:pos="3060" w:leader="none"/>
        </w:tabs>
        <w:spacing w:lineRule="auto" w:line="240" w:before="0" w:after="0"/>
        <w:ind w:right="2"/>
        <w:jc w:val="both"/>
        <w:rPr>
          <w:rFonts w:ascii="Times New Roman" w:hAnsi="Times New Roman" w:cs="Times New Roman"/>
          <w:i/>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cs="Times New Roman" w:ascii="Times New Roman" w:hAnsi="Times New Roman"/>
          <w:i/>
          <w:sz w:val="24"/>
          <w:szCs w:val="24"/>
          <w:u w:val="single"/>
        </w:rPr>
        <w:t xml:space="preserve">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 </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 xml:space="preserve">: </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r>
        <w:rPr>
          <w:rFonts w:cs="Times New Roman" w:ascii="Times New Roman" w:hAnsi="Times New Roman"/>
          <w:b/>
          <w:bCs/>
          <w:sz w:val="24"/>
          <w:szCs w:val="24"/>
          <w:u w:val="single"/>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eastAsia="Calibri" w:cs="Times New Roman" w:ascii="Times New Roman" w:hAnsi="Times New Roman"/>
          <w:bCs/>
          <w:sz w:val="24"/>
          <w:u w:val="single"/>
          <w:lang w:val="en-US"/>
        </w:rPr>
        <w:t>dgkh</w:t>
      </w:r>
      <w:r>
        <w:rPr>
          <w:rFonts w:eastAsia="Calibri" w:cs="Times New Roman" w:ascii="Times New Roman" w:hAnsi="Times New Roman"/>
          <w:bCs/>
          <w:sz w:val="24"/>
          <w:u w:val="single"/>
        </w:rPr>
        <w:t>@</w:t>
      </w:r>
      <w:r>
        <w:rPr>
          <w:rFonts w:eastAsia="Calibri" w:cs="Times New Roman" w:ascii="Times New Roman" w:hAnsi="Times New Roman"/>
          <w:bCs/>
          <w:sz w:val="24"/>
          <w:u w:val="single"/>
          <w:lang w:val="en-US"/>
        </w:rPr>
        <w:t>ivreg</w:t>
      </w:r>
      <w:r>
        <w:rPr>
          <w:rFonts w:eastAsia="Calibri" w:cs="Times New Roman" w:ascii="Times New Roman" w:hAnsi="Times New Roman"/>
          <w:bCs/>
          <w:sz w:val="24"/>
          <w:u w:val="single"/>
        </w:rPr>
        <w:t>.</w:t>
      </w:r>
      <w:r>
        <w:rPr>
          <w:rFonts w:eastAsia="Calibri" w:cs="Times New Roman" w:ascii="Times New Roman" w:hAnsi="Times New Roman"/>
          <w:bCs/>
          <w:sz w:val="24"/>
          <w:u w:val="single"/>
          <w:lang w:val="en-US"/>
        </w:rPr>
        <w:t>ru</w:t>
      </w:r>
      <w:r>
        <w:rPr>
          <w:rFonts w:eastAsia="Times New Roman" w:cs="Times New Roman" w:ascii="Times New Roman" w:hAnsi="Times New Roman"/>
          <w:b/>
          <w:sz w:val="24"/>
          <w:szCs w:val="24"/>
          <w:lang w:eastAsia="ru-RU"/>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w:t>
      </w:r>
      <w:r>
        <w:rPr>
          <w:rFonts w:ascii="Times New Roman" w:hAnsi="Times New Roman"/>
          <w:b/>
          <w:bCs/>
          <w:sz w:val="28"/>
          <w:szCs w:val="28"/>
        </w:rPr>
        <w:t>т</w:t>
      </w:r>
      <w:r>
        <w:rPr>
          <w:rFonts w:ascii="Times New Roman" w:hAnsi="Times New Roman"/>
          <w:b/>
          <w:bCs/>
          <w:sz w:val="28"/>
          <w:szCs w:val="28"/>
        </w:rPr>
        <w:t>боре (далее – Заявка):</w:t>
      </w:r>
      <w:r>
        <w:rPr>
          <w:rFonts w:ascii="Times New Roman" w:hAnsi="Times New Roman"/>
          <w:b/>
          <w:bCs/>
          <w:sz w:val="24"/>
        </w:rPr>
        <w:t xml:space="preserve"> </w:t>
      </w:r>
      <w:r>
        <w:rPr>
          <w:rFonts w:ascii="Times New Roman" w:hAnsi="Times New Roman"/>
          <w:bCs/>
          <w:sz w:val="24"/>
        </w:rPr>
        <w:t>«</w:t>
      </w:r>
      <w:r>
        <w:rPr>
          <w:rFonts w:ascii="Times New Roman" w:hAnsi="Times New Roman"/>
          <w:bCs/>
          <w:sz w:val="24"/>
        </w:rPr>
        <w:t>22</w:t>
      </w:r>
      <w:r>
        <w:rPr>
          <w:rFonts w:ascii="Times New Roman" w:hAnsi="Times New Roman"/>
          <w:bCs/>
          <w:sz w:val="24"/>
        </w:rPr>
        <w:t xml:space="preserve">» </w:t>
      </w:r>
      <w:r>
        <w:rPr>
          <w:rFonts w:ascii="Times New Roman" w:hAnsi="Times New Roman"/>
          <w:bCs/>
          <w:sz w:val="24"/>
        </w:rPr>
        <w:t>мая</w:t>
      </w:r>
      <w:r>
        <w:rPr>
          <w:rFonts w:ascii="Times New Roman" w:hAnsi="Times New Roman"/>
          <w:bCs/>
          <w:sz w:val="24"/>
        </w:rPr>
        <w:t xml:space="preserve">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«1</w:t>
      </w:r>
      <w:r>
        <w:rPr>
          <w:rFonts w:ascii="Times New Roman" w:hAnsi="Times New Roman"/>
          <w:bCs/>
          <w:sz w:val="24"/>
        </w:rPr>
        <w:t>5</w:t>
      </w:r>
      <w:r>
        <w:rPr>
          <w:rFonts w:ascii="Times New Roman" w:hAnsi="Times New Roman"/>
          <w:bCs/>
          <w:sz w:val="24"/>
        </w:rPr>
        <w:t xml:space="preserve">» </w:t>
      </w:r>
      <w:r>
        <w:rPr>
          <w:rFonts w:ascii="Times New Roman" w:hAnsi="Times New Roman"/>
          <w:bCs/>
          <w:sz w:val="24"/>
        </w:rPr>
        <w:t>июня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6</w:t>
      </w:r>
      <w:r>
        <w:rPr>
          <w:rFonts w:ascii="Times New Roman" w:hAnsi="Times New Roman"/>
          <w:bCs/>
          <w:sz w:val="24"/>
        </w:rPr>
        <w:t xml:space="preserve">» </w:t>
      </w:r>
      <w:r>
        <w:rPr>
          <w:rFonts w:ascii="Times New Roman" w:hAnsi="Times New Roman"/>
          <w:bCs/>
          <w:sz w:val="24"/>
        </w:rPr>
        <w:t>июня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ListParagraph"/>
        <w:tabs>
          <w:tab w:val="clear" w:pos="708"/>
          <w:tab w:val="left" w:pos="3060" w:leader="none"/>
        </w:tabs>
        <w:spacing w:lineRule="auto" w:line="240" w:before="0" w:after="0"/>
        <w:ind w:left="426" w:right="2"/>
        <w:contextualSpacing/>
        <w:jc w:val="both"/>
        <w:rPr>
          <w:rFonts w:ascii="Times New Roman" w:hAnsi="Times New Roman"/>
          <w:bCs/>
          <w:sz w:val="24"/>
        </w:rPr>
      </w:pPr>
      <w:r>
        <w:rPr>
          <w:rFonts w:ascii="Times New Roman" w:hAnsi="Times New Roman"/>
          <w:bCs/>
          <w:sz w:val="24"/>
        </w:rPr>
        <w:t xml:space="preserve"> </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12"/>
        </w:numPr>
        <w:tabs>
          <w:tab w:val="clear" w:pos="708"/>
          <w:tab w:val="left" w:pos="284" w:leader="none"/>
        </w:tabs>
        <w:ind w:hanging="0" w:left="0"/>
        <w:jc w:val="center"/>
        <w:rPr>
          <w:rFonts w:ascii="Times New Roman" w:hAnsi="Times New Roman" w:cs="Times New Roman"/>
          <w:b/>
          <w:bCs/>
          <w:sz w:val="28"/>
          <w:szCs w:val="28"/>
        </w:rPr>
      </w:pPr>
      <w:r>
        <w:rPr>
          <w:rFonts w:cs="Times New Roman" w:ascii="Times New Roman" w:hAnsi="Times New Roman"/>
          <w:b/>
          <w:sz w:val="28"/>
          <w:szCs w:val="28"/>
        </w:rPr>
        <w:t xml:space="preserve">Требования к </w:t>
      </w:r>
      <w:r>
        <w:rPr>
          <w:rFonts w:cs="Times New Roman" w:ascii="Times New Roman" w:hAnsi="Times New Roman"/>
          <w:b/>
          <w:bCs/>
          <w:sz w:val="28"/>
          <w:szCs w:val="28"/>
        </w:rPr>
        <w:t>оказанию услуг и (или) выполнению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9"/>
        <w:gridCol w:w="3071"/>
        <w:gridCol w:w="6144"/>
      </w:tblGrid>
      <w:tr>
        <w:trPr>
          <w:tblHeader w:val="true"/>
          <w:trHeight w:val="458" w:hRule="atLeast"/>
        </w:trPr>
        <w:tc>
          <w:tcPr>
            <w:tcW w:w="709"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1"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9"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1"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9"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1"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Требование </w:t>
            </w:r>
            <w:r>
              <w:rPr>
                <w:rFonts w:cs="Times New Roman" w:ascii="Times New Roman" w:hAnsi="Times New Roman"/>
                <w:sz w:val="24"/>
                <w:szCs w:val="24"/>
              </w:rPr>
              <w:t xml:space="preserve">к оказанию услуг и (или) выполнению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 </w:t>
            </w:r>
            <w:r>
              <w:rPr>
                <w:rFonts w:eastAsia="Times New Roman" w:cs="Times New Roman" w:ascii="Times New Roman" w:hAnsi="Times New Roman"/>
                <w:sz w:val="24"/>
                <w:szCs w:val="24"/>
                <w:lang w:eastAsia="ru-RU"/>
              </w:rPr>
              <w:t>по предмету предварительного отбора подрядных организаций «Оказание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p>
        </w:tc>
        <w:tc>
          <w:tcPr>
            <w:tcW w:w="61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Проектно-сметная документация разрабатывается в объёме, необходимом для проведения капитального ремонта общего имущества многоквартирного дома в соответствии со следующими нормами действующего законодательства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Градостроительный кодекс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Земельный кодекс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Жилищный кодекс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Федеральный закон от 30.12.2009 г.</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384-Ф3 «Технический регламент о безопасности зданий и сооружений»;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Федеральный закон от 23.11.2009 г.</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Федеральный закон РФ от 27.12.2002 г. №184-ФЗ «О техническом регулировании»;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Федеральный закон РФ от 22.07.2008 №123-ФЗ «Технический регламент о требованиях пожарной безопасности»;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Постановление Правительства РФ № 87 от 06.02.2008 г. «О составе разделов проектной документации и требованиях к их содержанию»;</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31937-2011 «Здания и сооружения. Правила обследования и мониторинга технического состояния».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21.1101-2013 «Основные требования к проектной и рабочей документации»;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Р 55528-2013 «Состав и содержание научно-проектной документации по сохранению объектов культурного наследия. Памятники истории и культуры. Общие требования»;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15.13330.2012 «СНиП II-22-81  «Каменные и армокаменные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16.13330.2011 «СНиП II-23-81  «Стальные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17.13330.2001 «СНиП II-26-76 «Кровли».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20.13330.2011 «СНиП 2.01.07-85  «Нагрузки и воздействия»;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22.13330.2011 «СНиП 2.02.01-83  «Основания зданий и сооружений»;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24.13330.2011 «СНиП 2.02.03-85 «Свайные фундаменты»;</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28.13330.2012 «Защита строительных конструкций от коррозии»;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СП13330.2012 «СНиП 2.04.0185  «Внутренний водопровод и канализация зданий»;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32.13330.2012 «СНиП 2.04.03-85 «Канализация. Наружные сети и сооружения»;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50.13330.2012 «СНиП 23-02-2003 «Тепловая защита зданий»;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54.13330.2011 СНиП 31-01-2003 «Здания жилые многоквартирные»;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60.13330.2012 «СНиП 41-01-2003 «Отопление, вентиляция и кондиционирование воздуха»;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63.13330.2012 «СНиП 52-01-2003 «Бетонные и железобетонные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64.13330.2011 «СНиП II-25-80 «Деревянные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70.13330.2012 «СНиП 3.03.01-87 «Несущие и ограждающие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131.13330.2012 «СНиП23-01-99  «Строительная климатология».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СРП-2007, часть 1 «Свод реставрационных правил о составе, порядке разработки, согласования и утверждения научно-проектной документации на выполнение производственных работ по сохранению объектов культурного объекта»;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СНИП, СП и другая нормативно-техническая документация, действующая на территории РФ.</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Принятые в проектно-сметной документации решения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Сметная стоимость работ по капитальному ремонту не должна превышать размера предельной стоимости услуг и (или) работ по капитальному ремонту общего имущества в МКД,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указанной в соответствующем действующем нормативно-правовом акте Ивановской области.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 Подрядной организацией должны быть получены все необходимые согласования и заключения экспертизы проектно-сметной документации.</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Normal"/>
        <w:numPr>
          <w:ilvl w:val="0"/>
          <w:numId w:val="13"/>
        </w:numPr>
        <w:spacing w:lineRule="auto" w:line="240" w:before="0" w:after="0"/>
        <w:ind w:hanging="0" w:left="0"/>
        <w:jc w:val="center"/>
        <w:rPr>
          <w:rFonts w:ascii="Times New Roman" w:hAnsi="Times New Roman" w:eastAsia="Calibri" w:cs="Times New Roman"/>
          <w:b/>
          <w:sz w:val="28"/>
          <w:szCs w:val="28"/>
        </w:rPr>
      </w:pPr>
      <w:r>
        <w:rPr>
          <w:rFonts w:eastAsia="Calibri" w:cs="Times New Roman" w:ascii="Times New Roman" w:hAnsi="Times New Roman"/>
          <w:b/>
          <w:sz w:val="28"/>
          <w:szCs w:val="28"/>
        </w:rPr>
        <w:t>Сведения о существенных условиях договора об оказании услуг и (или) выполнении работ</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Style w:val="ab"/>
        <w:tblW w:w="10348"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r>
          </w:p>
        </w:tc>
        <w:tc>
          <w:tcPr>
            <w:tcW w:w="2410"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 xml:space="preserve">Предметом договора является </w:t>
            </w:r>
            <w:r>
              <w:rPr>
                <w:rStyle w:val="Style15"/>
                <w:rFonts w:eastAsia="Calibri" w:cs="Times New Roman" w:ascii="Times New Roman" w:hAnsi="Times New Roman"/>
                <w:i/>
                <w:kern w:val="0"/>
                <w:sz w:val="24"/>
                <w:szCs w:val="24"/>
                <w:u w:val="single"/>
                <w:lang w:val="ru-RU" w:eastAsia="en-US" w:bidi="ar-SA"/>
              </w:rPr>
              <w:t>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p>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Работы будут выполняться исполнителем в отношении объектов, указанных в ориентировочном адресном перечне, установленном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расположенный на территории Ивановской области», размещенном на сайте в информационно-коммуникационной сети «Интернет» по web-адресу: http://www.kaprem37.ru/ в разделе - «Региональная программа».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Normal"/>
              <w:widowControl/>
              <w:tabs>
                <w:tab w:val="clear" w:pos="708"/>
                <w:tab w:val="left" w:pos="450" w:leader="none"/>
              </w:tabs>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 Определяется по итогам проведения электронного аукциона.</w:t>
            </w:r>
          </w:p>
          <w:p>
            <w:pPr>
              <w:pStyle w:val="ListParagraph"/>
              <w:widowControl/>
              <w:tabs>
                <w:tab w:val="clear" w:pos="708"/>
                <w:tab w:val="left" w:pos="450" w:leader="none"/>
              </w:tabs>
              <w:spacing w:lineRule="auto" w:line="240" w:before="0" w:after="0"/>
              <w:ind w:left="25"/>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tabs>
                <w:tab w:val="clear" w:pos="708"/>
                <w:tab w:val="left" w:pos="450" w:leader="none"/>
              </w:tabs>
              <w:spacing w:lineRule="auto" w:line="240" w:before="0" w:after="0"/>
              <w:ind w:left="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Normal"/>
              <w:widowControl/>
              <w:tabs>
                <w:tab w:val="clear" w:pos="708"/>
                <w:tab w:val="left" w:pos="450" w:leader="none"/>
              </w:tabs>
              <w:spacing w:lineRule="auto" w:line="240" w:before="0" w:after="0"/>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 услуг и (или) работ</w:t>
            </w:r>
          </w:p>
        </w:tc>
        <w:tc>
          <w:tcPr>
            <w:tcW w:w="7371" w:type="dxa"/>
            <w:tcBorders/>
          </w:tcPr>
          <w:p>
            <w:pPr>
              <w:pStyle w:val="Normal"/>
              <w:widowControl/>
              <w:spacing w:lineRule="auto" w:line="259" w:before="0" w:after="160"/>
              <w:jc w:val="both"/>
              <w:rPr>
                <w:rStyle w:val="Style15"/>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Порядок и сроки оплаты работ по договору устанавливаются Заказчиком в документации о проведении электронного аукциона.</w:t>
            </w:r>
            <w:r>
              <w:rPr>
                <w:rFonts w:eastAsia="Calibri" w:cs="Times New Roman" w:ascii="Times New Roman" w:hAnsi="Times New Roman"/>
                <w:kern w:val="0"/>
                <w:sz w:val="24"/>
                <w:szCs w:val="24"/>
                <w:lang w:val="ru-RU" w:eastAsia="ru-RU" w:bidi="ar-SA"/>
              </w:rPr>
              <w:t xml:space="preserve"> При любом установленном договором порядке окончательная оплата услуг и (или) работ по договору производится</w:t>
            </w:r>
            <w:r>
              <w:rPr>
                <w:rFonts w:eastAsia="Calibri" w:cs="Times New Roman"/>
                <w:kern w:val="0"/>
                <w:sz w:val="22"/>
                <w:szCs w:val="22"/>
                <w:lang w:val="ru-RU" w:eastAsia="en-US" w:bidi="ar-SA"/>
              </w:rPr>
              <w:t xml:space="preserve"> </w:t>
            </w:r>
            <w:r>
              <w:rPr>
                <w:rFonts w:eastAsia="Calibri" w:cs="Times New Roman" w:ascii="Times New Roman" w:hAnsi="Times New Roman"/>
                <w:kern w:val="0"/>
                <w:sz w:val="24"/>
                <w:szCs w:val="24"/>
                <w:lang w:val="ru-RU" w:eastAsia="ru-RU" w:bidi="ar-SA"/>
              </w:rPr>
              <w:t xml:space="preserve">за фактически выполненные услуги и (или) работы на основании утверждённого комиссией, созданной в порядке п. 5 ч. 2 ст. 182 ЖК РФ, </w:t>
            </w:r>
            <w:r>
              <w:rPr>
                <w:rStyle w:val="Style15"/>
                <w:rFonts w:eastAsia="Calibri" w:cs="Times New Roman" w:ascii="Times New Roman" w:hAnsi="Times New Roman"/>
                <w:kern w:val="0"/>
                <w:sz w:val="24"/>
                <w:szCs w:val="24"/>
                <w:lang w:val="ru-RU" w:eastAsia="en-US" w:bidi="ar-SA"/>
              </w:rPr>
              <w:t xml:space="preserve">и согласованного в порядке, предусмотренном ч. 2 ст. 190 ЖК РФ, акта о приёмке </w:t>
            </w:r>
            <w:r>
              <w:rPr>
                <w:rFonts w:eastAsia="Calibri" w:cs="Times New Roman" w:ascii="Times New Roman" w:hAnsi="Times New Roman"/>
                <w:kern w:val="0"/>
                <w:sz w:val="24"/>
                <w:szCs w:val="24"/>
                <w:lang w:val="ru-RU" w:eastAsia="en-US" w:bidi="ar-SA"/>
              </w:rPr>
              <w:t>оказанных услуг и (или) выполненных работ.</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Порядок и сроки оказания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приемки оказанных услуг и (или) выполненных работ</w:t>
            </w:r>
          </w:p>
        </w:tc>
        <w:tc>
          <w:tcPr>
            <w:tcW w:w="7371" w:type="dxa"/>
            <w:tcBorders/>
          </w:tcPr>
          <w:p>
            <w:pPr>
              <w:pStyle w:val="ConsPlusNormal1"/>
              <w:spacing w:before="0" w:after="0"/>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Порядок и сроки оказанных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 оказания услуг и (или) выполнения работ</w:t>
            </w:r>
          </w:p>
        </w:tc>
        <w:tc>
          <w:tcPr>
            <w:tcW w:w="7371" w:type="dxa"/>
            <w:tcBorders/>
            <w:vAlign w:val="center"/>
          </w:tcPr>
          <w:p>
            <w:pPr>
              <w:pStyle w:val="ConsPlusNormal1"/>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оказания услуг и (или) выполнения работ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u w:val="single"/>
                <w:lang w:val="ru-RU" w:bidi="ar-SA"/>
              </w:rPr>
              <w:t xml:space="preserve"> </w:t>
            </w:r>
            <w:r>
              <w:rPr>
                <w:rStyle w:val="Style15"/>
                <w:rFonts w:cs="Times New Roman" w:ascii="Times New Roman" w:hAnsi="Times New Roman"/>
                <w:i/>
                <w:kern w:val="0"/>
                <w:sz w:val="24"/>
                <w:szCs w:val="24"/>
                <w:u w:val="single"/>
                <w:lang w:val="ru-RU" w:bidi="ar-SA"/>
              </w:rPr>
              <w:t>Ивановской области.</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Normal"/>
              <w:widowControl/>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Normal"/>
              <w:widowControl/>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ConsPlusNormal1"/>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обеспечительным платежом.</w:t>
            </w:r>
          </w:p>
          <w:p>
            <w:pPr>
              <w:pStyle w:val="Normal"/>
              <w:widowControl/>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608"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 xml:space="preserve">б) </w:t>
            </w:r>
            <w:r>
              <w:rPr>
                <w:rFonts w:eastAsia="Calibri" w:cs="Times New Roman" w:ascii="Times New Roman" w:hAnsi="Times New Roman"/>
                <w:kern w:val="0"/>
                <w:sz w:val="24"/>
                <w:szCs w:val="24"/>
                <w:lang w:val="ru-RU" w:eastAsia="en-US" w:bidi="ar-SA"/>
              </w:rPr>
              <w:t>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в) 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Normal"/>
              <w:widowControl/>
              <w:spacing w:lineRule="auto" w:line="240" w:before="0" w:after="0"/>
              <w:jc w:val="both"/>
              <w:rPr>
                <w:rStyle w:val="Style15"/>
                <w:rFonts w:ascii="Times New Roman" w:hAnsi="Times New Roman" w:eastAsia="Calibri" w:cs="Times New Roman"/>
                <w:sz w:val="24"/>
                <w:szCs w:val="24"/>
              </w:rPr>
            </w:pPr>
            <w:r>
              <w:rPr>
                <w:rStyle w:val="Style15"/>
                <w:rFonts w:eastAsia="Calibri" w:cs="Times New Roman" w:ascii="Times New Roman" w:hAnsi="Times New Roman"/>
                <w:kern w:val="0"/>
                <w:sz w:val="24"/>
                <w:szCs w:val="24"/>
                <w:lang w:val="ru-RU" w:eastAsia="en-US" w:bidi="ar-SA"/>
              </w:rPr>
              <w:t xml:space="preserve">7. В </w:t>
            </w:r>
            <w:r>
              <w:rPr>
                <w:rFonts w:eastAsia="Calibri" w:cs="Times New Roman" w:ascii="Times New Roman" w:hAnsi="Times New Roman"/>
                <w:kern w:val="0"/>
                <w:sz w:val="24"/>
                <w:szCs w:val="24"/>
                <w:lang w:val="ru-RU" w:eastAsia="en-US" w:bidi="ar-SA"/>
              </w:rPr>
              <w:t>документации о проведении электронного аукциона</w:t>
            </w:r>
            <w:r>
              <w:rPr>
                <w:rStyle w:val="Style15"/>
                <w:rFonts w:eastAsia="Calibri" w:cs="Times New Roman" w:ascii="Times New Roman" w:hAnsi="Times New Roman"/>
                <w:kern w:val="0"/>
                <w:sz w:val="24"/>
                <w:szCs w:val="24"/>
                <w:lang w:val="ru-RU" w:eastAsia="en-US" w:bidi="ar-SA"/>
              </w:rPr>
              <w:t xml:space="preserve">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tabs>
                <w:tab w:val="clear" w:pos="708"/>
                <w:tab w:val="left" w:pos="608" w:leader="none"/>
              </w:tabs>
              <w:spacing w:before="0" w:after="0"/>
              <w:ind w:left="41"/>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tabs>
                <w:tab w:val="clear" w:pos="708"/>
                <w:tab w:val="left" w:pos="608" w:leader="none"/>
              </w:tabs>
              <w:spacing w:before="0" w:after="0"/>
              <w:ind w:left="41"/>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trPr>
          <w:trHeight w:val="1137" w:hRule="atLeast"/>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исполнителя</w:t>
            </w:r>
          </w:p>
        </w:tc>
        <w:tc>
          <w:tcPr>
            <w:tcW w:w="7371" w:type="dxa"/>
            <w:tcBorders/>
          </w:tcPr>
          <w:p>
            <w:pPr>
              <w:pStyle w:val="ConsPlusNormal1"/>
              <w:tabs>
                <w:tab w:val="clear" w:pos="708"/>
                <w:tab w:val="left" w:pos="600" w:leader="none"/>
              </w:tabs>
              <w:spacing w:before="0" w:after="0"/>
              <w:ind w:firstLine="5"/>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pacing w:before="0" w:after="0"/>
              <w:ind w:left="5"/>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на выполнение работ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pacing w:before="0" w:after="0"/>
              <w:ind w:left="38"/>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pPr>
              <w:pStyle w:val="ConsPlusNormal1"/>
              <w:tabs>
                <w:tab w:val="clear" w:pos="708"/>
                <w:tab w:val="left" w:pos="571" w:leader="none"/>
              </w:tabs>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9"/>
        </w:numPr>
        <w:tabs>
          <w:tab w:val="clear" w:pos="708"/>
          <w:tab w:val="left" w:pos="426" w:leader="none"/>
        </w:tabs>
        <w:spacing w:lineRule="auto" w:line="240" w:before="0" w:after="0"/>
        <w:contextualSpacing/>
        <w:rPr>
          <w:rFonts w:ascii="Times New Roman" w:hAnsi="Times New Roman" w:eastAsia="Calibri" w:cs="Times New Roman"/>
          <w:b/>
          <w:sz w:val="28"/>
          <w:szCs w:val="28"/>
        </w:rPr>
      </w:pPr>
      <w:r>
        <w:rPr>
          <w:rFonts w:eastAsia="Calibri" w:cs="Times New Roman" w:ascii="Times New Roman" w:hAnsi="Times New Roman"/>
          <w:b/>
          <w:sz w:val="28"/>
          <w:szCs w:val="28"/>
        </w:rPr>
        <w:t>Планируемый адресный перечень многоквартирных домов</w:t>
      </w:r>
    </w:p>
    <w:p>
      <w:pPr>
        <w:pStyle w:val="Normal"/>
        <w:tabs>
          <w:tab w:val="clear" w:pos="708"/>
          <w:tab w:val="left" w:pos="284" w:leader="none"/>
        </w:tabs>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2">
        <w:r>
          <w:rPr>
            <w:rStyle w:val="ListLabel262"/>
            <w:rFonts w:eastAsia="Calibri" w:cs="Times New Roman" w:ascii="Times New Roman" w:hAnsi="Times New Roman"/>
            <w:color w:val="0000FF"/>
            <w:sz w:val="28"/>
            <w:szCs w:val="28"/>
            <w:u w:val="single"/>
          </w:rPr>
          <w:t>http://kaprem37.ru/</w:t>
        </w:r>
      </w:hyperlink>
      <w:r>
        <w:rPr>
          <w:rFonts w:eastAsia="Calibri" w:cs="Times New Roman" w:ascii="Times New Roman" w:hAnsi="Times New Roman"/>
          <w:sz w:val="28"/>
          <w:szCs w:val="28"/>
        </w:rPr>
        <w:t xml:space="preserve"> в разделе «Региональная программа».</w:t>
      </w:r>
    </w:p>
    <w:p>
      <w:pPr>
        <w:pStyle w:val="ListParagraph"/>
        <w:numPr>
          <w:ilvl w:val="0"/>
          <w:numId w:val="9"/>
        </w:numPr>
        <w:tabs>
          <w:tab w:val="clear" w:pos="708"/>
          <w:tab w:val="left" w:pos="284" w:leader="none"/>
        </w:tabs>
        <w:spacing w:lineRule="auto" w:line="240" w:before="0" w:after="0"/>
        <w:contextualSpacing/>
        <w:jc w:val="center"/>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val="false"/>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При проведении предварительного отбора по предмету последующего электронного аукциона - </w:t>
      </w:r>
      <w:r>
        <w:rPr>
          <w:rFonts w:cs="Times New Roman" w:ascii="Times New Roman" w:hAnsi="Times New Roman"/>
          <w:i/>
          <w:sz w:val="28"/>
          <w:szCs w:val="28"/>
        </w:rPr>
        <w:t>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r>
        <w:rPr>
          <w:rFonts w:cs="Times New Roman" w:ascii="Times New Roman" w:hAnsi="Times New Roman"/>
          <w:sz w:val="28"/>
          <w:szCs w:val="28"/>
        </w:rPr>
        <w:t xml:space="preserve">, устанавливаются следующие требования к его участникам (далее – Участник):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членство Участника в саморегулируемой организации в области архитектурно-строительного проектирования, при этом указанное требование не применяется к участникам предварительного отбора, являющимся лицами, указанными в пункте 1 части 2.2 статьи 52 Градостроительного кодекса Российской Федерации;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б)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в)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д)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з)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л) наличие у Участника предварительного отбора в штате минимального количества квалифицированного персонала: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7"/>
        <w:gridCol w:w="2126"/>
        <w:gridCol w:w="1841"/>
        <w:gridCol w:w="2408"/>
        <w:gridCol w:w="1558"/>
      </w:tblGrid>
      <w:tr>
        <w:trPr>
          <w:trHeight w:val="906"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 xml:space="preserve">№ </w:t>
            </w:r>
            <w:r>
              <w:rPr>
                <w:rFonts w:eastAsia="Calibri" w:cs="Times New Roman" w:ascii="Times New Roman" w:hAnsi="Times New Roman"/>
                <w:b/>
                <w:sz w:val="20"/>
                <w:szCs w:val="20"/>
              </w:rPr>
              <w:t>п/п</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b/>
                <w:sz w:val="20"/>
                <w:szCs w:val="20"/>
              </w:rPr>
            </w:pPr>
            <w:r>
              <w:rPr>
                <w:rFonts w:eastAsia="Calibri" w:cs="Times New Roman" w:ascii="Times New Roman" w:hAnsi="Times New Roman"/>
                <w:b/>
                <w:sz w:val="20"/>
                <w:szCs w:val="20"/>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Количество человек, не менее</w:t>
            </w:r>
          </w:p>
        </w:tc>
      </w:tr>
      <w:tr>
        <w:trPr>
          <w:trHeight w:val="1335"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vertAlign w:val="superscript"/>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r>
      <w:tr>
        <w:trPr>
          <w:trHeight w:val="2124"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eastAsia="Calibri" w:cs="Times New Roman"/>
                <w:sz w:val="20"/>
                <w:szCs w:val="20"/>
              </w:rPr>
            </w:pPr>
            <w:r>
              <w:rPr>
                <w:rFonts w:eastAsia="Calibri" w:cs="Times New Roman" w:ascii="Times New Roman" w:hAnsi="Times New Roman"/>
                <w:sz w:val="20"/>
                <w:szCs w:val="20"/>
              </w:rPr>
              <w:t>Высшее образование соответствующего профиля**</w:t>
            </w:r>
          </w:p>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по основному месту работы</w:t>
            </w:r>
          </w:p>
        </w:tc>
      </w:tr>
    </w:tbl>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 xml:space="preserve">* - </w:t>
      </w:r>
      <w:r>
        <w:rPr>
          <w:rFonts w:cs="Times New Roman" w:ascii="Times New Roman" w:hAnsi="Times New Roman"/>
          <w:sz w:val="18"/>
          <w:szCs w:val="18"/>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i/>
          <w:sz w:val="18"/>
          <w:szCs w:val="18"/>
          <w:lang w:eastAsia="ru-RU"/>
        </w:rPr>
        <w:t>**</w:t>
      </w:r>
      <w:r>
        <w:rPr>
          <w:rFonts w:eastAsia="Times New Roman" w:cs="Times New Roman" w:ascii="Times New Roman" w:hAnsi="Times New Roman"/>
          <w:sz w:val="18"/>
          <w:szCs w:val="18"/>
          <w:lang w:eastAsia="ru-RU"/>
        </w:rPr>
        <w:t xml:space="preserve"> - Наименования специальностей высшего образования должны соответствовать приложению к приказу Минстроя России от 06.11.2020 № 672/пр.</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sz w:val="18"/>
          <w:szCs w:val="18"/>
          <w:lang w:eastAsia="ru-RU"/>
        </w:rPr>
        <w:t>*** - Стаж работы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eastAsia="Calibri" w:cs="Times New Roman"/>
          <w:color w:themeColor="text1" w:val="000000"/>
          <w:sz w:val="28"/>
          <w:szCs w:val="28"/>
        </w:rPr>
      </w:pPr>
      <w:r>
        <w:rPr>
          <w:rFonts w:eastAsia="Calibri" w:cs="Times New Roman" w:ascii="Times New Roman" w:hAnsi="Times New Roman"/>
          <w:color w:themeColor="text1" w:val="000000"/>
          <w:sz w:val="28"/>
          <w:szCs w:val="28"/>
        </w:rPr>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м)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являлась разработка проектной документации,</w:t>
      </w:r>
      <w:r>
        <w:rPr/>
        <w:t xml:space="preserve"> </w:t>
      </w:r>
      <w:r>
        <w:rPr>
          <w:rFonts w:eastAsia="Calibri" w:cs="Times New Roman" w:ascii="Times New Roman" w:hAnsi="Times New Roman"/>
          <w:sz w:val="28"/>
          <w:szCs w:val="28"/>
        </w:rPr>
        <w:t>в том числе по договорам, заключенным в соответствии с Положением.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25 000 000 (двадцать пять миллионов) рублей (первый уровень ответственности);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25 000 000 (двадцати пяти миллионов) рублей, но не превышает 50 000 000 (пятьдесят миллионов) рублей (второй уровень ответственности);</w:t>
      </w:r>
    </w:p>
    <w:p>
      <w:pPr>
        <w:pStyle w:val="Normal"/>
        <w:spacing w:lineRule="auto" w:line="240" w:before="0" w:after="0"/>
        <w:ind w:firstLine="709"/>
        <w:contextualSpacing/>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300 000 000 (трехсот миллионов) рублей (третий и четвертый уровень ответственности);</w:t>
      </w:r>
    </w:p>
    <w:p>
      <w:pPr>
        <w:pStyle w:val="Normal"/>
        <w:spacing w:lineRule="auto" w:line="240" w:before="0" w:after="0"/>
        <w:ind w:firstLine="709"/>
        <w:contextualSpacing/>
        <w:jc w:val="both"/>
        <w:rPr>
          <w:rFonts w:ascii="Times New Roman" w:hAnsi="Times New Roman" w:eastAsia="Calibri" w:cs="Times New Roman"/>
          <w:sz w:val="28"/>
          <w:szCs w:val="28"/>
        </w:rPr>
      </w:pPr>
      <w:r>
        <w:rPr>
          <w:rFonts w:eastAsia="Calibri" w:cs="Times New Roman" w:ascii="Times New Roman" w:hAnsi="Times New Roman"/>
          <w:sz w:val="28"/>
          <w:szCs w:val="28"/>
        </w:rPr>
        <w:t>н)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отбора. </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2"/>
        </w:numPr>
        <w:tabs>
          <w:tab w:val="clear" w:pos="708"/>
          <w:tab w:val="left" w:pos="993" w:leader="none"/>
        </w:tabs>
        <w:spacing w:lineRule="auto" w:line="240" w:before="0" w:after="0"/>
        <w:ind w:firstLine="709" w:left="0"/>
        <w:contextualSpacing/>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Участник предварительного отбора должен подписать Заявку усиленной неквалифицированной электронной подписью.</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12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б)</w:t>
      </w:r>
      <w:r>
        <w:rPr/>
        <w:t xml:space="preserve"> </w:t>
      </w:r>
      <w:r>
        <w:rPr>
          <w:rStyle w:val="Style15"/>
          <w:rFonts w:cs="Times New Roman" w:ascii="Times New Roman" w:hAnsi="Times New Roman"/>
          <w:sz w:val="28"/>
          <w:szCs w:val="28"/>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е)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ж) 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з) копия штатного расписания;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и) штатно-списочный состав сотрудников, подготовленный по форме приложения № 2 к Документации о проведении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к) копии трудовых книжек и (или) сведения о трудовой деятельности, предусмотренные статьей 66.1 Трудового кодекса Российской Федерации, копии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л)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м)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Normal"/>
        <w:spacing w:lineRule="auto" w:line="240" w:before="0" w:after="0"/>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Регистрация на электронной площадке, а также участие в предварительном отборе осуществляется без взимания платы с Участника.</w:t>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Участник в рамках извещения о проведении предварительного отбора </w:t>
      </w:r>
      <w:r>
        <w:rPr>
          <w:rFonts w:eastAsia="Times New Roman" w:cs="Times New Roman" w:ascii="Times New Roman" w:hAnsi="Times New Roman"/>
          <w:b/>
          <w:sz w:val="28"/>
          <w:szCs w:val="28"/>
          <w:lang w:eastAsia="ru-RU"/>
        </w:rPr>
        <w:t>№ ПО.г.26.</w:t>
      </w:r>
      <w:r>
        <w:rPr>
          <w:rFonts w:eastAsia="Times New Roman" w:cs="Times New Roman" w:ascii="Times New Roman" w:hAnsi="Times New Roman"/>
          <w:b/>
          <w:sz w:val="28"/>
          <w:szCs w:val="28"/>
          <w:lang w:eastAsia="ru-RU"/>
        </w:rPr>
        <w:t>2</w:t>
      </w:r>
      <w:r>
        <w:rPr>
          <w:rFonts w:eastAsia="Times New Roman" w:cs="Times New Roman" w:ascii="Times New Roman" w:hAnsi="Times New Roman"/>
          <w:b/>
          <w:sz w:val="28"/>
          <w:szCs w:val="28"/>
          <w:lang w:eastAsia="ru-RU"/>
        </w:rPr>
        <w:t xml:space="preserve"> от </w:t>
      </w:r>
      <w:r>
        <w:rPr>
          <w:rFonts w:eastAsia="Times New Roman" w:cs="Times New Roman" w:ascii="Times New Roman" w:hAnsi="Times New Roman"/>
          <w:b/>
          <w:sz w:val="28"/>
          <w:szCs w:val="28"/>
          <w:lang w:eastAsia="ru-RU"/>
        </w:rPr>
        <w:t>21</w:t>
      </w:r>
      <w:r>
        <w:rPr>
          <w:rFonts w:eastAsia="Times New Roman" w:cs="Times New Roman" w:ascii="Times New Roman" w:hAnsi="Times New Roman"/>
          <w:b/>
          <w:sz w:val="28"/>
          <w:szCs w:val="28"/>
          <w:lang w:eastAsia="ru-RU"/>
        </w:rPr>
        <w:t>.0</w:t>
      </w:r>
      <w:r>
        <w:rPr>
          <w:rFonts w:eastAsia="Times New Roman" w:cs="Times New Roman" w:ascii="Times New Roman" w:hAnsi="Times New Roman"/>
          <w:b/>
          <w:sz w:val="28"/>
          <w:szCs w:val="28"/>
          <w:lang w:eastAsia="ru-RU"/>
        </w:rPr>
        <w:t>5</w:t>
      </w:r>
      <w:r>
        <w:rPr>
          <w:rFonts w:eastAsia="Times New Roman" w:cs="Times New Roman" w:ascii="Times New Roman" w:hAnsi="Times New Roman"/>
          <w:b/>
          <w:sz w:val="28"/>
          <w:szCs w:val="28"/>
          <w:lang w:eastAsia="ru-RU"/>
        </w:rPr>
        <w:t>.2026</w:t>
      </w:r>
      <w:r>
        <w:rPr>
          <w:rFonts w:eastAsia="Times New Roman" w:cs="Times New Roman" w:ascii="Times New Roman" w:hAnsi="Times New Roman"/>
          <w:sz w:val="28"/>
          <w:szCs w:val="28"/>
          <w:lang w:eastAsia="ru-RU"/>
        </w:rPr>
        <w:t xml:space="preserve">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Участник, подавший Заявку, вправе ее изменить.</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w:t>
      </w:r>
    </w:p>
    <w:p>
      <w:pPr>
        <w:pStyle w:val="Normal"/>
        <w:widowControl w:val="false"/>
        <w:numPr>
          <w:ilvl w:val="0"/>
          <w:numId w:val="3"/>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Заявка подается Участником не ранее даты, указанной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поданные ранее даты и времени, указанные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Каждая Заявка, поступившая в установленные сроки, регистрируется оператором электронной площадки, с присвоением порядкового номера.</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отозвать.</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может быть отозвана до даты и времени окончания срока подачи Заявок, указанных в Извещении и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Уведомление об отзыве Заявки должно быть подписано усиленной неквалифицированной электронной подписью Участника.</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Любое заинтересованное лицо вправе направить в орган по ведению реестра квалифицированных подрядных организаций (далее – Орган по ведению РКП) запрос о разъяснении Документации о проведении предварительного отбора (далее – Запрос).</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Запросы принимаются </w:t>
      </w:r>
      <w:r>
        <w:rPr>
          <w:rFonts w:eastAsia="Times New Roman" w:cs="Times New Roman" w:ascii="Times New Roman" w:hAnsi="Times New Roman"/>
          <w:b/>
          <w:sz w:val="28"/>
          <w:szCs w:val="28"/>
          <w:lang w:eastAsia="ru-RU"/>
        </w:rPr>
        <w:t xml:space="preserve">до </w:t>
      </w:r>
      <w:r>
        <w:rPr>
          <w:rFonts w:eastAsia="Times New Roman" w:cs="Times New Roman" w:ascii="Times New Roman" w:hAnsi="Times New Roman"/>
          <w:b/>
          <w:sz w:val="28"/>
          <w:szCs w:val="28"/>
          <w:lang w:eastAsia="ru-RU"/>
        </w:rPr>
        <w:t>4</w:t>
      </w:r>
      <w:r>
        <w:rPr>
          <w:rFonts w:eastAsia="Times New Roman" w:cs="Times New Roman" w:ascii="Times New Roman" w:hAnsi="Times New Roman"/>
          <w:b/>
          <w:sz w:val="28"/>
          <w:szCs w:val="28"/>
          <w:lang w:eastAsia="ru-RU"/>
        </w:rPr>
        <w:t xml:space="preserve"> </w:t>
      </w:r>
      <w:r>
        <w:rPr>
          <w:rFonts w:eastAsia="Times New Roman" w:cs="Times New Roman" w:ascii="Times New Roman" w:hAnsi="Times New Roman"/>
          <w:b/>
          <w:sz w:val="28"/>
          <w:szCs w:val="28"/>
          <w:lang w:eastAsia="ru-RU"/>
        </w:rPr>
        <w:t>июня</w:t>
      </w:r>
      <w:r>
        <w:rPr>
          <w:rFonts w:eastAsia="Times New Roman" w:cs="Times New Roman" w:ascii="Times New Roman" w:hAnsi="Times New Roman"/>
          <w:b/>
          <w:sz w:val="28"/>
          <w:szCs w:val="28"/>
          <w:lang w:eastAsia="ru-RU"/>
        </w:rPr>
        <w:t xml:space="preserve"> 2026</w:t>
      </w:r>
      <w:bookmarkStart w:id="0" w:name="_GoBack"/>
      <w:bookmarkEnd w:id="0"/>
      <w:r>
        <w:rPr>
          <w:rFonts w:eastAsia="Times New Roman" w:cs="Times New Roman" w:ascii="Times New Roman" w:hAnsi="Times New Roman"/>
          <w:b/>
          <w:sz w:val="28"/>
          <w:szCs w:val="28"/>
          <w:lang w:eastAsia="ru-RU"/>
        </w:rPr>
        <w:t xml:space="preserve"> г.</w:t>
      </w:r>
      <w:r>
        <w:rPr>
          <w:rFonts w:eastAsia="Times New Roman" w:cs="Times New Roman" w:ascii="Times New Roman" w:hAnsi="Times New Roman"/>
          <w:sz w:val="28"/>
          <w:szCs w:val="28"/>
          <w:lang w:eastAsia="ru-RU"/>
        </w:rPr>
        <w:t xml:space="preserve"> включительно.</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Запрос должен быть подписан, усиленной неквалифицированной электронной подписью лица, направившего Запрос.</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firstLine="709"/>
        <w:jc w:val="center"/>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9"/>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Порядок рассмотрения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Общие положения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Участие в предварительном отборе и заседаниях Комиссии осуществляется без взимания платы с Участника.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 </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 xml:space="preserve">Порядок рассмотрения Заявок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 основании результатов рассмотрения Заявок Комиссия принимает одно из следующих решений:</w:t>
      </w:r>
    </w:p>
    <w:p>
      <w:pPr>
        <w:pStyle w:val="Normal"/>
        <w:widowControl w:val="false"/>
        <w:tabs>
          <w:tab w:val="clear" w:pos="708"/>
          <w:tab w:val="left" w:pos="1134" w:leader="none"/>
        </w:tabs>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включение Участника в реестр квалифицированных подрядных организаций;</w:t>
      </w:r>
    </w:p>
    <w:p>
      <w:pPr>
        <w:pStyle w:val="Normal"/>
        <w:widowControl w:val="false"/>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отказ во включении Участника в реестр квалифицированных подрядных организаций.</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несоответствие Участника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несоответствие Заявки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b/>
          <w:sz w:val="28"/>
          <w:szCs w:val="28"/>
          <w:lang w:eastAsia="ru-RU"/>
        </w:rPr>
        <w:t>Принятие решения о признании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Предварительный отбор признается Комиссией несостоявшимся в следующих случаях:</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принятия Комиссией решения о невключении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 подавших Заявки до указанных в Извещении даты и времени окончания срока подачи Заявок.</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Протокол заседания Комиссии</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t xml:space="preserve">  </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Приложение № 1</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 xml:space="preserve">ПО ИЗВЕЩЕНИЮ № </w:t>
      </w:r>
      <w:r>
        <w:rPr>
          <w:rFonts w:cs="Times New Roman" w:ascii="Times New Roman" w:hAnsi="Times New Roman"/>
          <w:sz w:val="24"/>
          <w:szCs w:val="24"/>
        </w:rPr>
        <w:t xml:space="preserve">___ </w:t>
      </w:r>
      <w:r>
        <w:rPr>
          <w:rFonts w:cs="Times New Roman" w:ascii="Times New Roman" w:hAnsi="Times New Roman"/>
          <w:b/>
          <w:sz w:val="24"/>
          <w:szCs w:val="24"/>
        </w:rPr>
        <w:t xml:space="preserve">ОТ </w:t>
      </w:r>
      <w:r>
        <w:rPr>
          <w:rFonts w:cs="Times New Roman" w:ascii="Times New Roman" w:hAnsi="Times New Roman"/>
          <w:sz w:val="24"/>
          <w:szCs w:val="24"/>
        </w:rPr>
        <w:t>__________________</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 </w:t>
      </w:r>
      <w:r>
        <w:rPr>
          <w:rFonts w:cs="Times New Roman" w:ascii="Times New Roman" w:hAnsi="Times New Roman"/>
          <w:i/>
          <w:sz w:val="24"/>
          <w:szCs w:val="24"/>
          <w:u w:val="single"/>
        </w:rPr>
        <w:t xml:space="preserve">                                 (указывается предмет предварительного отбора) .</w:t>
      </w:r>
      <w:r>
        <w:rPr>
          <w:rFonts w:cs="Times New Roman" w:ascii="Times New Roman" w:hAnsi="Times New Roman"/>
          <w:sz w:val="24"/>
          <w:szCs w:val="24"/>
        </w:rPr>
        <w:t xml:space="preserve">                                       </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tru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 xml:space="preserve">(указывается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 </w:t>
      </w:r>
      <w:r>
        <w:rPr>
          <w:rFonts w:eastAsia="Times New Roman" w:cs="Times New Roman" w:ascii="Times New Roman" w:hAnsi="Times New Roman"/>
          <w:bCs/>
          <w:sz w:val="24"/>
          <w:szCs w:val="24"/>
          <w:u w:val="single"/>
          <w:lang w:eastAsia="ru-RU"/>
        </w:rPr>
        <w:t xml:space="preserve">       .</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9"/>
        <w:gridCol w:w="2156"/>
        <w:gridCol w:w="1700"/>
        <w:gridCol w:w="1418"/>
        <w:gridCol w:w="1730"/>
        <w:gridCol w:w="2522"/>
      </w:tblGrid>
      <w:tr>
        <w:trPr/>
        <w:tc>
          <w:tcPr>
            <w:tcW w:w="679"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6"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2"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9"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6"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2"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9"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2"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«л»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(трудовых книжках, дипломах, трудовых договорах);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8"/>
          <w:szCs w:val="28"/>
        </w:rPr>
      </w:pPr>
      <w:r>
        <w:rPr>
          <w:rFonts w:eastAsia="Times New Roman" w:cs="Times New Roman" w:ascii="Times New Roman" w:hAnsi="Times New Roman"/>
          <w:spacing w:val="-1"/>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sectPr>
      <w:type w:val="nextPage"/>
      <w:pgSz w:w="11906" w:h="16838"/>
      <w:pgMar w:left="1701" w:right="850" w:gutter="0" w:header="0" w:top="1134" w:footer="0" w:bottom="426"/>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1851" w:hanging="360"/>
      </w:pPr>
      <w:rPr/>
    </w:lvl>
    <w:lvl w:ilvl="1">
      <w:start w:val="1"/>
      <w:numFmt w:val="lowerLetter"/>
      <w:lvlText w:val="%2."/>
      <w:lvlJc w:val="left"/>
      <w:pPr>
        <w:tabs>
          <w:tab w:val="num" w:pos="0"/>
        </w:tabs>
        <w:ind w:left="2571" w:hanging="360"/>
      </w:pPr>
      <w:rPr/>
    </w:lvl>
    <w:lvl w:ilvl="2">
      <w:start w:val="1"/>
      <w:numFmt w:val="lowerRoman"/>
      <w:lvlText w:val="%3."/>
      <w:lvlJc w:val="right"/>
      <w:pPr>
        <w:tabs>
          <w:tab w:val="num" w:pos="0"/>
        </w:tabs>
        <w:ind w:left="3291" w:hanging="180"/>
      </w:pPr>
      <w:rPr/>
    </w:lvl>
    <w:lvl w:ilvl="3">
      <w:start w:val="1"/>
      <w:numFmt w:val="decimal"/>
      <w:lvlText w:val="%4."/>
      <w:lvlJc w:val="left"/>
      <w:pPr>
        <w:tabs>
          <w:tab w:val="num" w:pos="0"/>
        </w:tabs>
        <w:ind w:left="4011" w:hanging="360"/>
      </w:pPr>
      <w:rPr/>
    </w:lvl>
    <w:lvl w:ilvl="4">
      <w:start w:val="1"/>
      <w:numFmt w:val="lowerLetter"/>
      <w:lvlText w:val="%5."/>
      <w:lvlJc w:val="left"/>
      <w:pPr>
        <w:tabs>
          <w:tab w:val="num" w:pos="0"/>
        </w:tabs>
        <w:ind w:left="4731" w:hanging="360"/>
      </w:pPr>
      <w:rPr/>
    </w:lvl>
    <w:lvl w:ilvl="5">
      <w:start w:val="1"/>
      <w:numFmt w:val="lowerRoman"/>
      <w:lvlText w:val="%6."/>
      <w:lvlJc w:val="right"/>
      <w:pPr>
        <w:tabs>
          <w:tab w:val="num" w:pos="0"/>
        </w:tabs>
        <w:ind w:left="5451" w:hanging="180"/>
      </w:pPr>
      <w:rPr/>
    </w:lvl>
    <w:lvl w:ilvl="6">
      <w:start w:val="1"/>
      <w:numFmt w:val="decimal"/>
      <w:lvlText w:val="%7."/>
      <w:lvlJc w:val="left"/>
      <w:pPr>
        <w:tabs>
          <w:tab w:val="num" w:pos="0"/>
        </w:tabs>
        <w:ind w:left="6171" w:hanging="360"/>
      </w:pPr>
      <w:rPr/>
    </w:lvl>
    <w:lvl w:ilvl="7">
      <w:start w:val="1"/>
      <w:numFmt w:val="lowerLetter"/>
      <w:lvlText w:val="%8."/>
      <w:lvlJc w:val="left"/>
      <w:pPr>
        <w:tabs>
          <w:tab w:val="num" w:pos="0"/>
        </w:tabs>
        <w:ind w:left="6891" w:hanging="360"/>
      </w:pPr>
      <w:rPr/>
    </w:lvl>
    <w:lvl w:ilvl="8">
      <w:start w:val="1"/>
      <w:numFmt w:val="lowerRoman"/>
      <w:lvlText w:val="%9."/>
      <w:lvlJc w:val="right"/>
      <w:pPr>
        <w:tabs>
          <w:tab w:val="num" w:pos="0"/>
        </w:tabs>
        <w:ind w:left="7611" w:hanging="180"/>
      </w:pPr>
      <w:rPr/>
    </w:lvl>
  </w:abstractNum>
  <w:abstractNum w:abstractNumId="3">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6">
    <w:lvl w:ilvl="0">
      <w:start w:val="1"/>
      <w:numFmt w:val="decimal"/>
      <w:lvlText w:val="%1."/>
      <w:lvlJc w:val="left"/>
      <w:pPr>
        <w:tabs>
          <w:tab w:val="num" w:pos="0"/>
        </w:tabs>
        <w:ind w:left="3192" w:hanging="360"/>
      </w:pPr>
      <w:rPr>
        <w:b/>
      </w:rPr>
    </w:lvl>
    <w:lvl w:ilvl="1">
      <w:start w:val="1"/>
      <w:numFmt w:val="decimal"/>
      <w:lvlText w:val="%1.%2."/>
      <w:lvlJc w:val="left"/>
      <w:pPr>
        <w:tabs>
          <w:tab w:val="num" w:pos="0"/>
        </w:tabs>
        <w:ind w:left="1850" w:hanging="432"/>
      </w:pPr>
      <w:rPr/>
    </w:lvl>
    <w:lvl w:ilvl="2">
      <w:start w:val="1"/>
      <w:numFmt w:val="decimal"/>
      <w:lvlText w:val="%1.%2.%3."/>
      <w:lvlJc w:val="left"/>
      <w:pPr>
        <w:tabs>
          <w:tab w:val="num" w:pos="0"/>
        </w:tabs>
        <w:ind w:left="4056" w:hanging="504"/>
      </w:pPr>
      <w:rPr/>
    </w:lvl>
    <w:lvl w:ilvl="3">
      <w:start w:val="1"/>
      <w:numFmt w:val="decimal"/>
      <w:lvlText w:val="%1.%2.%3.%4."/>
      <w:lvlJc w:val="left"/>
      <w:pPr>
        <w:tabs>
          <w:tab w:val="num" w:pos="0"/>
        </w:tabs>
        <w:ind w:left="4560" w:hanging="648"/>
      </w:pPr>
      <w:rPr/>
    </w:lvl>
    <w:lvl w:ilvl="4">
      <w:start w:val="1"/>
      <w:numFmt w:val="decimal"/>
      <w:lvlText w:val="%1.%2.%3.%4.%5."/>
      <w:lvlJc w:val="left"/>
      <w:pPr>
        <w:tabs>
          <w:tab w:val="num" w:pos="0"/>
        </w:tabs>
        <w:ind w:left="5064" w:hanging="792"/>
      </w:pPr>
      <w:rPr/>
    </w:lvl>
    <w:lvl w:ilvl="5">
      <w:start w:val="1"/>
      <w:numFmt w:val="decimal"/>
      <w:lvlText w:val="%1.%2.%3.%4.%5.%6."/>
      <w:lvlJc w:val="left"/>
      <w:pPr>
        <w:tabs>
          <w:tab w:val="num" w:pos="0"/>
        </w:tabs>
        <w:ind w:left="5568" w:hanging="936"/>
      </w:pPr>
      <w:rPr/>
    </w:lvl>
    <w:lvl w:ilvl="6">
      <w:start w:val="1"/>
      <w:numFmt w:val="decimal"/>
      <w:lvlText w:val="%1.%2.%3.%4.%5.%6.%7."/>
      <w:lvlJc w:val="left"/>
      <w:pPr>
        <w:tabs>
          <w:tab w:val="num" w:pos="0"/>
        </w:tabs>
        <w:ind w:left="6072" w:hanging="1080"/>
      </w:pPr>
      <w:rPr/>
    </w:lvl>
    <w:lvl w:ilvl="7">
      <w:start w:val="1"/>
      <w:numFmt w:val="decimal"/>
      <w:lvlText w:val="%1.%2.%3.%4.%5.%6.%7.%8."/>
      <w:lvlJc w:val="left"/>
      <w:pPr>
        <w:tabs>
          <w:tab w:val="num" w:pos="0"/>
        </w:tabs>
        <w:ind w:left="6576" w:hanging="1224"/>
      </w:pPr>
      <w:rPr/>
    </w:lvl>
    <w:lvl w:ilvl="8">
      <w:start w:val="1"/>
      <w:numFmt w:val="decimal"/>
      <w:lvlText w:val="%1.%2.%3.%4.%5.%6.%7.%8.%9."/>
      <w:lvlJc w:val="left"/>
      <w:pPr>
        <w:tabs>
          <w:tab w:val="num" w:pos="0"/>
        </w:tabs>
        <w:ind w:left="7152" w:hanging="1440"/>
      </w:pPr>
      <w:rPr/>
    </w:lvl>
  </w:abstractNum>
  <w:abstractNum w:abstractNumId="7">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4"/>
      <w:numFmt w:val="upperRoman"/>
      <w:lvlText w:val="%1."/>
      <w:lvlJc w:val="left"/>
      <w:pPr>
        <w:tabs>
          <w:tab w:val="num" w:pos="0"/>
        </w:tabs>
        <w:ind w:left="1080" w:hanging="72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8"/>
    <w:lvlOverride w:ilvl="0">
      <w:startOverride w:val="1"/>
    </w:lvlOverride>
  </w:num>
  <w:num w:numId="12">
    <w:abstractNumId w:val="8"/>
  </w:num>
  <w:num w:numId="13">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4"/>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1c2a6b"/>
    <w:rPr/>
  </w:style>
  <w:style w:type="character" w:styleId="ConsPlusNormal" w:customStyle="1">
    <w:name w:val="ConsPlusNormal Знак"/>
    <w:basedOn w:val="DefaultParagraphFont"/>
    <w:link w:val="ConsPlusNormal1"/>
    <w:qFormat/>
    <w:locked/>
    <w:rsid w:val="001c2a6b"/>
    <w:rPr>
      <w:rFonts w:ascii="Arial" w:hAnsi="Arial" w:eastAsia="" w:cs="Arial" w:eastAsiaTheme="minorEastAsia"/>
      <w:sz w:val="20"/>
      <w:szCs w:val="20"/>
      <w:lang w:eastAsia="ru-RU"/>
    </w:rPr>
  </w:style>
  <w:style w:type="character" w:styleId="Hyperlink">
    <w:name w:val="Hyperlink"/>
    <w:rPr>
      <w:color w:val="000080"/>
      <w:u w:val="single"/>
    </w:rPr>
  </w:style>
  <w:style w:type="paragraph" w:styleId="Style2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3">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4"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bidi w:val="0"/>
      <w:spacing w:lineRule="auto" w:line="240" w:before="0" w:after="0"/>
      <w:jc w:val="left"/>
    </w:pPr>
    <w:rPr>
      <w:rFonts w:ascii="Arial" w:hAnsi="Arial" w:eastAsia="" w:cs="Arial" w:eastAsiaTheme="minorEastAsia"/>
      <w:color w:val="auto"/>
      <w:kern w:val="0"/>
      <w:sz w:val="20"/>
      <w:szCs w:val="20"/>
      <w:lang w:eastAsia="ru-RU" w:val="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numbering" w:styleId="Style25"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kaprem37.ru/"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FF193-B1E4-41D5-95DB-74AA1CD76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Application>LibreOffice/24.2.4.2$Windows_X86_64 LibreOffice_project/51a6219feb6075d9a4c46691dcfe0cd9c4fff3c2</Application>
  <AppVersion>15.0000</AppVersion>
  <Pages>22</Pages>
  <Words>6071</Words>
  <Characters>44800</Characters>
  <CharactersWithSpaces>50678</CharactersWithSpaces>
  <Paragraphs>338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2017-11-30T17:34:00Z</dcterms:created>
  <dc:creator>Василий</dc:creator>
  <dc:description/>
  <dc:language>ru-RU</dc:language>
  <cp:lastModifiedBy/>
  <cp:lastPrinted>2018-08-06T11:56:00Z</cp:lastPrinted>
  <dcterms:modified xsi:type="dcterms:W3CDTF">2026-05-21T14:01:18Z</dcterms:modified>
  <cp:revision>84</cp:revision>
  <dc:subject/>
  <dc:title/>
</cp:coreProperties>
</file>

<file path=docProps/custom.xml><?xml version="1.0" encoding="utf-8"?>
<Properties xmlns="http://schemas.openxmlformats.org/officeDocument/2006/custom-properties" xmlns:vt="http://schemas.openxmlformats.org/officeDocument/2006/docPropsVTypes"/>
</file>